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79" w:rsidRDefault="00BD44B0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Bon szkoleniowy</w:t>
      </w:r>
    </w:p>
    <w:p w:rsidR="00C73C79" w:rsidRDefault="00BD44B0">
      <w:pPr>
        <w:pBdr>
          <w:top w:val="single" w:sz="8" w:space="1" w:color="000000"/>
          <w:left w:val="single" w:sz="8" w:space="0" w:color="000000"/>
          <w:bottom w:val="double" w:sz="12" w:space="1" w:color="000000"/>
          <w:right w:val="single" w:sz="8" w:space="4" w:color="000000"/>
        </w:pBdr>
        <w:rPr>
          <w:b/>
          <w:sz w:val="24"/>
        </w:rPr>
      </w:pPr>
      <w:r>
        <w:rPr>
          <w:b/>
          <w:sz w:val="24"/>
        </w:rPr>
        <w:t xml:space="preserve">Bon szkoleniowy stanowi gwarancję skierowania bezrobotnego na wskazane przez niego szkolenie oraz opłacenie kosztów, które zostaną poniesione w związku z podjęciem </w:t>
      </w:r>
      <w:r>
        <w:rPr>
          <w:b/>
          <w:sz w:val="24"/>
        </w:rPr>
        <w:t>szkolenia.</w:t>
      </w:r>
    </w:p>
    <w:p w:rsidR="00C73C79" w:rsidRDefault="00BD44B0">
      <w:pPr>
        <w:rPr>
          <w:b/>
          <w:sz w:val="26"/>
          <w:szCs w:val="26"/>
        </w:rPr>
      </w:pPr>
      <w:r>
        <w:rPr>
          <w:b/>
          <w:sz w:val="26"/>
          <w:szCs w:val="26"/>
        </w:rPr>
        <w:t>Komu można przyznać bon szkoleniowy?</w:t>
      </w:r>
    </w:p>
    <w:p w:rsidR="00C73C79" w:rsidRDefault="00BD44B0">
      <w:pPr>
        <w:rPr>
          <w:szCs w:val="28"/>
        </w:rPr>
      </w:pPr>
      <w:r>
        <w:rPr>
          <w:szCs w:val="28"/>
        </w:rPr>
        <w:t>Bon może otrzymać zarejestrowana w Powiatowym Urzędzie Pracy osoba bezrobotna, która:</w:t>
      </w:r>
    </w:p>
    <w:p w:rsidR="00C73C79" w:rsidRDefault="00BD44B0">
      <w:pPr>
        <w:tabs>
          <w:tab w:val="left" w:pos="426"/>
        </w:tabs>
        <w:ind w:left="426"/>
        <w:rPr>
          <w:szCs w:val="28"/>
        </w:rPr>
      </w:pPr>
      <w:r>
        <w:rPr>
          <w:szCs w:val="28"/>
        </w:rPr>
        <w:t>Nie ukończyła 30 roku życia,</w:t>
      </w:r>
    </w:p>
    <w:p w:rsidR="00C73C79" w:rsidRDefault="00BD44B0">
      <w:pPr>
        <w:tabs>
          <w:tab w:val="left" w:pos="426"/>
        </w:tabs>
        <w:ind w:left="426"/>
        <w:rPr>
          <w:szCs w:val="28"/>
        </w:rPr>
      </w:pPr>
      <w:r>
        <w:rPr>
          <w:szCs w:val="28"/>
        </w:rPr>
        <w:t>Ma ustalony profil pomocy II, oraz w uzasadnionych przypadkach profil pomocy I</w:t>
      </w:r>
    </w:p>
    <w:p w:rsidR="00C73C79" w:rsidRDefault="00BD44B0">
      <w:pPr>
        <w:tabs>
          <w:tab w:val="left" w:pos="426"/>
        </w:tabs>
        <w:ind w:left="426"/>
        <w:rPr>
          <w:szCs w:val="28"/>
        </w:rPr>
      </w:pPr>
      <w:r>
        <w:rPr>
          <w:szCs w:val="28"/>
        </w:rPr>
        <w:t>Złożyła wniose</w:t>
      </w:r>
      <w:r>
        <w:rPr>
          <w:szCs w:val="28"/>
        </w:rPr>
        <w:t>k u doradcy klienta o przyznanie bonu szkoleniowego,</w:t>
      </w:r>
    </w:p>
    <w:p w:rsidR="00C73C79" w:rsidRDefault="00BD44B0">
      <w:pPr>
        <w:tabs>
          <w:tab w:val="left" w:pos="426"/>
        </w:tabs>
        <w:ind w:left="426"/>
        <w:rPr>
          <w:szCs w:val="28"/>
        </w:rPr>
      </w:pPr>
      <w:r>
        <w:rPr>
          <w:szCs w:val="28"/>
        </w:rPr>
        <w:t>Uprawdopodobniła podjęcie zatrudnienia, innej pracy zarobkowej lub działalności gospodarczej po zakończeniu szkolenia</w:t>
      </w:r>
    </w:p>
    <w:p w:rsidR="00C73C79" w:rsidRDefault="00BD44B0">
      <w:pPr>
        <w:rPr>
          <w:szCs w:val="28"/>
        </w:rPr>
      </w:pPr>
      <w:r>
        <w:rPr>
          <w:szCs w:val="28"/>
        </w:rPr>
        <w:t>Bony szkoleniowe  nie są przewidziane dla osób poszukujących pracy.</w:t>
      </w:r>
    </w:p>
    <w:p w:rsidR="00C73C79" w:rsidRDefault="00BD44B0">
      <w:r>
        <w:rPr>
          <w:szCs w:val="28"/>
          <w:u w:val="single"/>
        </w:rPr>
        <w:t xml:space="preserve">Uwaga: </w:t>
      </w:r>
      <w:r>
        <w:rPr>
          <w:szCs w:val="28"/>
        </w:rPr>
        <w:t xml:space="preserve">zgodnie z </w:t>
      </w:r>
      <w:r>
        <w:rPr>
          <w:b/>
          <w:szCs w:val="28"/>
        </w:rPr>
        <w:t xml:space="preserve">art. . 66k ust. 2 ustawy </w:t>
      </w:r>
      <w:r>
        <w:rPr>
          <w:szCs w:val="28"/>
        </w:rPr>
        <w:t>przyznanie i realizacja bonu następuje na podstawie ustaleń indywidualnego planu działania.</w:t>
      </w:r>
    </w:p>
    <w:p w:rsidR="00C73C79" w:rsidRDefault="00BD44B0">
      <w:pPr>
        <w:rPr>
          <w:szCs w:val="28"/>
        </w:rPr>
      </w:pPr>
      <w:r>
        <w:rPr>
          <w:szCs w:val="28"/>
        </w:rPr>
        <w:t>Przyznanie bonu jest jednocześnie zobowiązaniem Powiatowego Urzędu Pracy do pokrycia kosztów wynikających z decyzji młodej osoby odnośnie p</w:t>
      </w:r>
      <w:r>
        <w:rPr>
          <w:szCs w:val="28"/>
        </w:rPr>
        <w:t>odjęcia szkolenia.</w:t>
      </w:r>
    </w:p>
    <w:p w:rsidR="00C73C79" w:rsidRDefault="00BD44B0">
      <w:pPr>
        <w:rPr>
          <w:szCs w:val="28"/>
        </w:rPr>
      </w:pPr>
      <w:r>
        <w:rPr>
          <w:szCs w:val="28"/>
        </w:rPr>
        <w:t>Wniosek o przyznanie bonu szkoleniowego wydaje doradca klienta.</w:t>
      </w:r>
    </w:p>
    <w:p w:rsidR="00C73C79" w:rsidRDefault="00BD44B0">
      <w:pPr>
        <w:rPr>
          <w:b/>
          <w:sz w:val="26"/>
          <w:szCs w:val="26"/>
        </w:rPr>
      </w:pPr>
      <w:r>
        <w:rPr>
          <w:b/>
          <w:sz w:val="26"/>
          <w:szCs w:val="26"/>
        </w:rPr>
        <w:t>Jaki jest termin ważności bonu szkoleniowego?</w:t>
      </w:r>
    </w:p>
    <w:p w:rsidR="00C73C79" w:rsidRDefault="00BD44B0">
      <w:pPr>
        <w:rPr>
          <w:szCs w:val="28"/>
        </w:rPr>
      </w:pPr>
      <w:r>
        <w:rPr>
          <w:szCs w:val="28"/>
        </w:rPr>
        <w:t>W Powiatowym Urzędzie Pracy w Wąbrzeźnie termin ważności bonu został określony na 30 dni. W terminie tym osoba bezrobotna powi</w:t>
      </w:r>
      <w:r>
        <w:rPr>
          <w:szCs w:val="28"/>
        </w:rPr>
        <w:t>nna dostarczyć wypełniony bon.</w:t>
      </w:r>
    </w:p>
    <w:p w:rsidR="00C73C79" w:rsidRDefault="00BD44B0">
      <w:pPr>
        <w:rPr>
          <w:b/>
          <w:sz w:val="26"/>
          <w:szCs w:val="26"/>
        </w:rPr>
      </w:pPr>
      <w:r>
        <w:rPr>
          <w:b/>
          <w:sz w:val="26"/>
          <w:szCs w:val="26"/>
        </w:rPr>
        <w:t>Jaka jest maksymalna wartość kosztów związanych ze szkoleniem , które można pokryć z bonu szkoleniowego ?</w:t>
      </w:r>
    </w:p>
    <w:p w:rsidR="00C73C79" w:rsidRDefault="00BD44B0">
      <w:r>
        <w:rPr>
          <w:szCs w:val="28"/>
        </w:rPr>
        <w:t xml:space="preserve">Zgodnie z </w:t>
      </w:r>
      <w:r>
        <w:rPr>
          <w:b/>
          <w:szCs w:val="28"/>
        </w:rPr>
        <w:t xml:space="preserve">art. 66k ust. 4 ustawy </w:t>
      </w:r>
      <w:r>
        <w:rPr>
          <w:szCs w:val="28"/>
        </w:rPr>
        <w:t xml:space="preserve">maksymalna wartość kosztów związanych ze szkoleniem, które może pokryć z bonu </w:t>
      </w:r>
      <w:r>
        <w:rPr>
          <w:szCs w:val="28"/>
        </w:rPr>
        <w:t>szkoleniowego wynosi 100% przeciętnego wynagrodzenia obowiązującego w dniu przyznania bonu szkoleniowego.</w:t>
      </w:r>
    </w:p>
    <w:p w:rsidR="00C73C79" w:rsidRDefault="00BD44B0">
      <w:pPr>
        <w:rPr>
          <w:b/>
          <w:szCs w:val="28"/>
        </w:rPr>
      </w:pPr>
      <w:r>
        <w:rPr>
          <w:b/>
          <w:szCs w:val="28"/>
        </w:rPr>
        <w:t>W ramach bonu szkoleniowego starosta finansuje bezrobotnemu (do wysokości 100% przeciętnego wynagrodzenia) koszty:</w:t>
      </w:r>
    </w:p>
    <w:p w:rsidR="00C73C79" w:rsidRDefault="00BD44B0">
      <w:pPr>
        <w:spacing w:after="0"/>
        <w:ind w:left="426"/>
        <w:rPr>
          <w:b/>
          <w:szCs w:val="28"/>
        </w:rPr>
      </w:pPr>
      <w:r>
        <w:rPr>
          <w:b/>
          <w:szCs w:val="28"/>
        </w:rPr>
        <w:t>Jednego lub kilku szkoleń, w tym ko</w:t>
      </w:r>
      <w:r>
        <w:rPr>
          <w:b/>
          <w:szCs w:val="28"/>
        </w:rPr>
        <w:t>sztów kwalifikacyjnego kursu zawodowego i kurs nadającego uprawnienia zawodowe- w formie wpłaty na konto instytucji szkoleniowej;</w:t>
      </w:r>
    </w:p>
    <w:p w:rsidR="00C73C79" w:rsidRDefault="00BD44B0">
      <w:pPr>
        <w:spacing w:after="0"/>
        <w:ind w:left="426"/>
        <w:rPr>
          <w:b/>
          <w:szCs w:val="28"/>
        </w:rPr>
      </w:pPr>
      <w:r>
        <w:rPr>
          <w:b/>
          <w:szCs w:val="28"/>
        </w:rPr>
        <w:t>Niezbędnych badan lekarskich lub psychologicznych- w formie wpłaty na konto wykonawcy badania;</w:t>
      </w:r>
    </w:p>
    <w:p w:rsidR="00C73C79" w:rsidRDefault="00BD44B0">
      <w:pPr>
        <w:spacing w:after="0"/>
        <w:ind w:left="426"/>
        <w:rPr>
          <w:b/>
          <w:szCs w:val="28"/>
        </w:rPr>
      </w:pPr>
      <w:r>
        <w:rPr>
          <w:b/>
          <w:szCs w:val="28"/>
        </w:rPr>
        <w:t>Przejazdu na szkolenia – w form</w:t>
      </w:r>
      <w:r>
        <w:rPr>
          <w:b/>
          <w:szCs w:val="28"/>
        </w:rPr>
        <w:t>ie ryczałtu wypłacanego bezrobotnemu w wysokości:</w:t>
      </w:r>
    </w:p>
    <w:p w:rsidR="00C73C79" w:rsidRDefault="00BD44B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szCs w:val="28"/>
        </w:rPr>
        <w:lastRenderedPageBreak/>
        <w:t>Do 150 zł- w przypadku szkolenia trwającego do 150 godzin,</w:t>
      </w:r>
    </w:p>
    <w:p w:rsidR="00C73C79" w:rsidRDefault="00BD44B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szCs w:val="28"/>
        </w:rPr>
        <w:t>Powyżej 150 zł do 200 zł- w przypadku szkolenia trwającego ponad 150 godzin;</w:t>
      </w:r>
    </w:p>
    <w:p w:rsidR="00C73C79" w:rsidRDefault="00C73C79">
      <w:pPr>
        <w:pStyle w:val="Akapitzlist"/>
        <w:tabs>
          <w:tab w:val="left" w:pos="284"/>
        </w:tabs>
        <w:spacing w:after="0"/>
        <w:ind w:left="0"/>
        <w:rPr>
          <w:szCs w:val="28"/>
        </w:rPr>
      </w:pPr>
    </w:p>
    <w:p w:rsidR="00C73C79" w:rsidRDefault="00BD44B0">
      <w:pPr>
        <w:pStyle w:val="Akapitzlist"/>
        <w:tabs>
          <w:tab w:val="left" w:pos="284"/>
        </w:tabs>
        <w:spacing w:after="0"/>
        <w:ind w:left="284"/>
        <w:rPr>
          <w:b/>
          <w:szCs w:val="28"/>
        </w:rPr>
      </w:pPr>
      <w:r>
        <w:rPr>
          <w:b/>
          <w:szCs w:val="28"/>
        </w:rPr>
        <w:t>Zakwaterowania, jeśli zajęcia odbywają się poza miejscem zamieszkania</w:t>
      </w:r>
      <w:r>
        <w:rPr>
          <w:b/>
          <w:szCs w:val="28"/>
        </w:rPr>
        <w:t>- w formie ryczałtu wypłacanego bezrobotnemu w wysokości:</w:t>
      </w:r>
    </w:p>
    <w:p w:rsidR="00C73C79" w:rsidRDefault="00C73C79">
      <w:pPr>
        <w:pStyle w:val="Akapitzlist"/>
        <w:tabs>
          <w:tab w:val="left" w:pos="284"/>
        </w:tabs>
        <w:spacing w:after="0"/>
        <w:ind w:left="0"/>
        <w:rPr>
          <w:b/>
          <w:szCs w:val="28"/>
        </w:rPr>
      </w:pPr>
    </w:p>
    <w:p w:rsidR="00C73C79" w:rsidRDefault="00BD44B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szCs w:val="28"/>
        </w:rPr>
      </w:pPr>
      <w:r>
        <w:rPr>
          <w:szCs w:val="28"/>
        </w:rPr>
        <w:t>Do 550 zł- w przypadku szkolenia trwającego 75 godzin,</w:t>
      </w:r>
    </w:p>
    <w:p w:rsidR="00C73C79" w:rsidRDefault="00BD44B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szCs w:val="28"/>
        </w:rPr>
      </w:pPr>
      <w:r>
        <w:rPr>
          <w:szCs w:val="28"/>
        </w:rPr>
        <w:t>Powyżej 550 zł do 1100 zł – w przypadku szkolenia trwającego od 75 do 150 godzin,</w:t>
      </w:r>
    </w:p>
    <w:p w:rsidR="00C73C79" w:rsidRDefault="00BD44B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szCs w:val="28"/>
        </w:rPr>
      </w:pPr>
      <w:r>
        <w:rPr>
          <w:szCs w:val="28"/>
        </w:rPr>
        <w:t>Powyżej 1100 zł do 1500 zł- w przypadku szkolenia trwającego</w:t>
      </w:r>
      <w:r>
        <w:rPr>
          <w:szCs w:val="28"/>
        </w:rPr>
        <w:t xml:space="preserve"> ponad 150 godzin.</w:t>
      </w:r>
    </w:p>
    <w:p w:rsidR="00C73C79" w:rsidRDefault="00C73C79">
      <w:pPr>
        <w:pStyle w:val="Akapitzlist"/>
        <w:tabs>
          <w:tab w:val="left" w:pos="284"/>
        </w:tabs>
        <w:spacing w:after="0"/>
        <w:ind w:left="284"/>
        <w:rPr>
          <w:szCs w:val="28"/>
        </w:rPr>
      </w:pPr>
    </w:p>
    <w:p w:rsidR="00C73C79" w:rsidRDefault="00BD44B0">
      <w:pPr>
        <w:pStyle w:val="Akapitzlist"/>
        <w:pBdr>
          <w:top w:val="single" w:sz="8" w:space="1" w:color="000000"/>
          <w:left w:val="single" w:sz="8" w:space="4" w:color="000000"/>
          <w:bottom w:val="double" w:sz="12" w:space="1" w:color="000000"/>
          <w:right w:val="single" w:sz="8" w:space="4" w:color="000000"/>
        </w:pBdr>
        <w:tabs>
          <w:tab w:val="left" w:pos="284"/>
        </w:tabs>
        <w:spacing w:after="0"/>
        <w:ind w:left="284"/>
        <w:rPr>
          <w:b/>
          <w:szCs w:val="28"/>
        </w:rPr>
      </w:pPr>
      <w:r>
        <w:rPr>
          <w:b/>
          <w:szCs w:val="28"/>
        </w:rPr>
        <w:t>Koszty szkolenia, które przekraczają limit bonu lub stanowią inny rodzaj kosztów niż określone w art. 66k ust. 4 nie mogą być pokryte z Funduszu Pracy. Musi je pokryć we własnym zakresie osoba otrzymująca bon.</w:t>
      </w:r>
    </w:p>
    <w:p w:rsidR="00C73C79" w:rsidRDefault="00BD44B0">
      <w:pPr>
        <w:tabs>
          <w:tab w:val="left" w:pos="1485"/>
        </w:tabs>
      </w:pPr>
      <w:r>
        <w:tab/>
      </w:r>
    </w:p>
    <w:p w:rsidR="00C73C79" w:rsidRDefault="00BD44B0">
      <w:pPr>
        <w:tabs>
          <w:tab w:val="left" w:pos="14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Czy starosta może </w:t>
      </w:r>
      <w:r>
        <w:rPr>
          <w:b/>
          <w:sz w:val="26"/>
          <w:szCs w:val="26"/>
        </w:rPr>
        <w:t>odmówić finansowania szkolenia wybranego przez osobę bezrobotna w ramach realizacji bonu szkoleniowego ?</w:t>
      </w:r>
    </w:p>
    <w:p w:rsidR="00C73C79" w:rsidRDefault="00BD44B0">
      <w:pPr>
        <w:tabs>
          <w:tab w:val="left" w:pos="1485"/>
        </w:tabs>
        <w:rPr>
          <w:szCs w:val="26"/>
        </w:rPr>
      </w:pPr>
      <w:r>
        <w:rPr>
          <w:szCs w:val="26"/>
        </w:rPr>
        <w:t>Starosta może odmówić sfinansowania szkolenia wybranego przez bezrobotnego w ramach bonu, jeśli jego realizacja tego szkolenia byłaby niezgodna z ustal</w:t>
      </w:r>
      <w:r>
        <w:rPr>
          <w:szCs w:val="26"/>
        </w:rPr>
        <w:t>eniami indywidualnego planu działania.</w:t>
      </w:r>
    </w:p>
    <w:p w:rsidR="00C73C79" w:rsidRDefault="00C73C79">
      <w:pPr>
        <w:tabs>
          <w:tab w:val="left" w:pos="1485"/>
        </w:tabs>
        <w:rPr>
          <w:szCs w:val="26"/>
        </w:rPr>
      </w:pPr>
    </w:p>
    <w:p w:rsidR="00C73C79" w:rsidRDefault="00C73C79">
      <w:pPr>
        <w:tabs>
          <w:tab w:val="left" w:pos="1485"/>
        </w:tabs>
        <w:rPr>
          <w:szCs w:val="26"/>
        </w:rPr>
      </w:pPr>
    </w:p>
    <w:p w:rsidR="00C73C79" w:rsidRDefault="00C73C79">
      <w:pPr>
        <w:tabs>
          <w:tab w:val="left" w:pos="1485"/>
        </w:tabs>
        <w:rPr>
          <w:szCs w:val="26"/>
        </w:rPr>
      </w:pPr>
    </w:p>
    <w:p w:rsidR="00C73C79" w:rsidRDefault="00C73C79">
      <w:pPr>
        <w:tabs>
          <w:tab w:val="left" w:pos="1485"/>
        </w:tabs>
        <w:rPr>
          <w:szCs w:val="26"/>
        </w:rPr>
      </w:pPr>
    </w:p>
    <w:p w:rsidR="00C73C79" w:rsidRDefault="00C73C79">
      <w:pPr>
        <w:tabs>
          <w:tab w:val="left" w:pos="1485"/>
        </w:tabs>
        <w:rPr>
          <w:szCs w:val="26"/>
        </w:rPr>
      </w:pPr>
    </w:p>
    <w:p w:rsidR="00C73C79" w:rsidRDefault="00BD44B0">
      <w:pPr>
        <w:tabs>
          <w:tab w:val="left" w:pos="1485"/>
        </w:tabs>
        <w:rPr>
          <w:szCs w:val="26"/>
        </w:rPr>
      </w:pPr>
      <w:r>
        <w:rPr>
          <w:szCs w:val="26"/>
        </w:rPr>
        <w:t>Podstawa prawna:</w:t>
      </w:r>
    </w:p>
    <w:p w:rsidR="00C73C79" w:rsidRDefault="00BD44B0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Art. 66k ustawy z dnia 20 kwietnia 2004r. o promocji zatrudnienia i instytucjach rynku pracy, (Dz. U. z 2013r. poz. 674, z późn. zm.);</w:t>
      </w:r>
    </w:p>
    <w:p w:rsidR="00C73C79" w:rsidRDefault="00BD44B0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Rozporządzenie Komisji (UE) Nr 1407/2013 z dnia 18 grudnia 2</w:t>
      </w:r>
      <w:r>
        <w:rPr>
          <w:sz w:val="20"/>
          <w:szCs w:val="26"/>
        </w:rPr>
        <w:t>013r. w sprawie stosowania art. 107 i 108 Traktatu o funkcjonowanie Unii Europejskiej do pomocy de minimis (Dz. Urz. UE L 352/1);</w:t>
      </w:r>
    </w:p>
    <w:p w:rsidR="00C73C79" w:rsidRDefault="00BD44B0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Rozporządzenie Komisji (UE) Nr 1408/2013 z dnia 18 grudnia 2013r. w sprawie stosowania  art. 107 i 108 Traktatu o funkcjonowan</w:t>
      </w:r>
      <w:r>
        <w:rPr>
          <w:sz w:val="20"/>
          <w:szCs w:val="26"/>
        </w:rPr>
        <w:t>iu Unii Europejskiej do pomocy de minimis w sektorze rolnym (Dz. Urz. UE L 352/9)</w:t>
      </w:r>
    </w:p>
    <w:p w:rsidR="00C73C79" w:rsidRDefault="00BD44B0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Rozporządzenie Komisji (UE) Nr 875/2007 z dnia 24 lipca 2017r. w sprawie stosowania  art. 87 i 88 Traktatu WE w odniesieniu do pomocy w ramach zasady de minimis dla sektora r</w:t>
      </w:r>
      <w:r>
        <w:rPr>
          <w:sz w:val="20"/>
          <w:szCs w:val="26"/>
        </w:rPr>
        <w:t>ybołówstwa i zmieniającego rozporządzenie (WE) nr 1860/2004 (Dz. Urz. UE L193 z 25.07.2007, str. 6);</w:t>
      </w:r>
    </w:p>
    <w:p w:rsidR="00C73C79" w:rsidRDefault="00BD44B0">
      <w:pPr>
        <w:tabs>
          <w:tab w:val="left" w:pos="1485"/>
        </w:tabs>
        <w:rPr>
          <w:sz w:val="20"/>
          <w:szCs w:val="26"/>
        </w:rPr>
      </w:pPr>
      <w:r>
        <w:rPr>
          <w:sz w:val="20"/>
          <w:szCs w:val="26"/>
        </w:rPr>
        <w:t>Ustawa z dnia 30 kwietnia 2004r o postępowaniu w sprawach dotyczących pomocy publicznej (Dz. U. z 2007r Nr 59, poz. 404, późn. zm.)</w:t>
      </w:r>
    </w:p>
    <w:p w:rsidR="00C73C79" w:rsidRDefault="00C73C79">
      <w:pPr>
        <w:tabs>
          <w:tab w:val="left" w:pos="1485"/>
        </w:tabs>
        <w:rPr>
          <w:szCs w:val="26"/>
        </w:rPr>
      </w:pPr>
    </w:p>
    <w:sectPr w:rsidR="00C73C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44B0">
      <w:pPr>
        <w:spacing w:after="0" w:line="240" w:lineRule="auto"/>
      </w:pPr>
      <w:r>
        <w:separator/>
      </w:r>
    </w:p>
  </w:endnote>
  <w:endnote w:type="continuationSeparator" w:id="0">
    <w:p w:rsidR="00000000" w:rsidRDefault="00BD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4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D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FA9"/>
    <w:multiLevelType w:val="multilevel"/>
    <w:tmpl w:val="555C0230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72602E3"/>
    <w:multiLevelType w:val="multilevel"/>
    <w:tmpl w:val="FB56C2FC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C79"/>
    <w:rsid w:val="00BD44B0"/>
    <w:rsid w:val="00C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OLKF41A/Bon%20szkoleniowy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dcterms:created xsi:type="dcterms:W3CDTF">2014-12-12T11:22:00Z</dcterms:created>
  <dcterms:modified xsi:type="dcterms:W3CDTF">2014-12-12T11:22:00Z</dcterms:modified>
</cp:coreProperties>
</file>